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9D43">
      <w:pPr>
        <w:pStyle w:val="14"/>
        <w:spacing w:before="0" w:line="240" w:lineRule="auto"/>
        <w:ind w:left="220" w:firstLine="0"/>
        <w:rPr>
          <w:b/>
        </w:rPr>
      </w:pPr>
      <w:r>
        <w:rPr>
          <w:b/>
        </w:rPr>
        <w:t xml:space="preserve">Перечень показателей оценки деятельности </w:t>
      </w:r>
    </w:p>
    <w:p w14:paraId="57259EF4">
      <w:pPr>
        <w:pStyle w:val="14"/>
        <w:spacing w:before="0" w:line="240" w:lineRule="auto"/>
        <w:ind w:left="220" w:firstLine="0"/>
        <w:rPr>
          <w:b/>
        </w:rPr>
      </w:pPr>
      <w:r>
        <w:rPr>
          <w:b/>
        </w:rPr>
        <w:t xml:space="preserve">Администрации </w:t>
      </w:r>
      <w:r>
        <w:rPr>
          <w:b/>
          <w:lang w:val="ru-RU"/>
        </w:rPr>
        <w:t>Льговского</w:t>
      </w:r>
      <w:r>
        <w:rPr>
          <w:rFonts w:hint="default"/>
          <w:b/>
          <w:lang w:val="ru-RU"/>
        </w:rPr>
        <w:t xml:space="preserve"> района</w:t>
      </w:r>
      <w:r>
        <w:rPr>
          <w:b/>
        </w:rPr>
        <w:t xml:space="preserve"> Курской области </w:t>
      </w:r>
    </w:p>
    <w:p w14:paraId="4D323A09">
      <w:pPr>
        <w:pStyle w:val="14"/>
        <w:spacing w:before="0" w:line="240" w:lineRule="auto"/>
        <w:ind w:left="220" w:firstLine="0"/>
        <w:rPr>
          <w:b/>
        </w:rPr>
      </w:pPr>
      <w:r>
        <w:rPr>
          <w:b/>
        </w:rPr>
        <w:t>по содействию</w:t>
      </w:r>
      <w:r>
        <w:rPr>
          <w:rFonts w:hint="default"/>
          <w:b/>
          <w:lang w:val="ru-RU"/>
        </w:rPr>
        <w:t xml:space="preserve"> </w:t>
      </w:r>
      <w:bookmarkStart w:id="0" w:name="_GoBack"/>
      <w:bookmarkEnd w:id="0"/>
      <w:r>
        <w:rPr>
          <w:b/>
        </w:rPr>
        <w:t>развитию конкуренции и обеспечению условий для благоприятного инвестиционного климата</w:t>
      </w:r>
    </w:p>
    <w:p w14:paraId="16982D25">
      <w:pPr>
        <w:pStyle w:val="14"/>
        <w:spacing w:before="0" w:line="240" w:lineRule="auto"/>
        <w:ind w:left="220" w:firstLine="0"/>
        <w:rPr>
          <w:b/>
        </w:rPr>
      </w:pPr>
      <w:r>
        <w:rPr>
          <w:b/>
        </w:rPr>
        <w:t>по итогам 202</w:t>
      </w:r>
      <w:r>
        <w:rPr>
          <w:b/>
          <w:lang w:val="ru-RU"/>
        </w:rPr>
        <w:t>4</w:t>
      </w:r>
      <w:r>
        <w:rPr>
          <w:b/>
        </w:rPr>
        <w:t xml:space="preserve"> года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"/>
        <w:gridCol w:w="4920"/>
        <w:gridCol w:w="3850"/>
      </w:tblGrid>
      <w:tr w14:paraId="5EAD47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6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640F4C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№</w:t>
            </w:r>
          </w:p>
          <w:p w14:paraId="6644E33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712297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показателя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6F8E3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Есть/Нет</w:t>
            </w:r>
          </w:p>
        </w:tc>
      </w:tr>
      <w:tr w14:paraId="2FEB9C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76F7D2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1. «Требования стандарта развития конкуренции»</w:t>
            </w:r>
          </w:p>
        </w:tc>
      </w:tr>
      <w:tr w14:paraId="6ACF6B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FFE3B7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1.1.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813212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на официальном сайте муниципального района (городского округа) Курской области раздела, посвященного содействию развитию конкуренции и его систематическое наполнение в целях повышения информированности потребителей и бизнес-сообществ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795031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14:paraId="29B2EC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https://lgovrn.gosuslugi.ru/deyatelnost/</w:t>
            </w:r>
          </w:p>
        </w:tc>
      </w:tr>
      <w:tr w14:paraId="41AF6C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445FBD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1.2.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256860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утвержденного перечня товарных рынков для содействия развитию конкуренции и муниципального плана мероприятий («дорожной карты») по содействию развитию конкуренции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BC3468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14:paraId="2815DD9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https://lgovrn.gosuslugi.ru/ofitsialno/dokumenty/dokumenty-all_5769.html</w:t>
            </w:r>
          </w:p>
        </w:tc>
      </w:tr>
      <w:tr w14:paraId="54D942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6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ED961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2. «Эффективность работы по реализации Перечня поручений Президента Российской Федерации по итогам заседания Государственного совета по вопросу развития конкуренции, состоявшегося 5 апреля 2018 года № ПР-817ГС от 15.05.2018»</w:t>
            </w:r>
          </w:p>
        </w:tc>
      </w:tr>
      <w:tr w14:paraId="1C18DB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03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D34D7F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2.1.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9F9397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нормативного правового акта Администрации муниципального района (городского округа) Курской области «О закреплении приоритета целей и задач по развитию конкуренции», размещенного на официальном сайте муниципального района (городского округа) Курской области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513BBA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14:paraId="7C2A57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https://lgovrn.gosuslugi.ru/ofitsialno/dokumenty/dokumenty-all_5768.html</w:t>
            </w:r>
          </w:p>
        </w:tc>
      </w:tr>
      <w:tr w14:paraId="7D98CD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6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5B6F9E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2.2.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22A09BC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Опубликование и актуализация на официальном сайте муниципального района (городского округа) Курской области информации об объектах, находящихся в муниципальной собственности, включая сведения о наименованиях объектов, их местоположении,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1547DE4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14:paraId="5F5C2D1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https://lgovrn.gosuslugi.ru/deyatelnost/podderzhka-msp/reestr-munitsipalnogo-imuschestva/</w:t>
            </w:r>
          </w:p>
        </w:tc>
      </w:tr>
      <w:tr w14:paraId="5D61F3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702485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3. «Нарушение антимонопольного законодательства»</w:t>
            </w:r>
          </w:p>
        </w:tc>
      </w:tr>
    </w:tbl>
    <w:p w14:paraId="14703938">
      <w:pPr>
        <w:widowControl w:val="0"/>
        <w:rPr>
          <w:sz w:val="2"/>
          <w:szCs w:val="2"/>
        </w:rPr>
        <w:sectPr>
          <w:headerReference r:id="rId5" w:type="default"/>
          <w:footnotePr>
            <w:numFmt w:val="decimal"/>
          </w:footnotePr>
          <w:pgSz w:w="11909" w:h="16840"/>
          <w:pgMar w:top="1142" w:right="953" w:bottom="1142" w:left="1440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"/>
        <w:gridCol w:w="4920"/>
        <w:gridCol w:w="3850"/>
      </w:tblGrid>
      <w:tr w14:paraId="513B36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48E38A7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№</w:t>
            </w:r>
          </w:p>
          <w:p w14:paraId="0EF7CBF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FBCE20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показателя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DA9D8D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Есть/Нет</w:t>
            </w:r>
          </w:p>
        </w:tc>
      </w:tr>
      <w:tr w14:paraId="28434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B3160B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3.1.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C44001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нормативного правового акта Администрации муниципального района (городского округа) Курской области «Об организации антимонопольного комплаенса», размещенного на официальном сайте муниципального района (городского округа) Курской области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C4EB2A2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14:paraId="1931512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https://lgovrn.gosuslugi.ru/deyatelnost/napravleniya-deyatelnosti/antimonopolnyy-komplaens/</w:t>
            </w:r>
          </w:p>
        </w:tc>
      </w:tr>
      <w:tr w14:paraId="45A443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517D5D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3.2.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6339A7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Динамика нарушений антимонопольного законодательства со стороны Администрации муниципального района (городского округа) Курской области в сравнении с предыдущим отчетным периодом (по данным Управления Федеральной антимонопольной службы по Курской области)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F81434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826" w:lineRule="exact"/>
              <w:ind w:left="0" w:firstLine="0"/>
              <w:jc w:val="left"/>
              <w:rPr>
                <w:rFonts w:hint="default"/>
                <w:lang w:val="en-US"/>
              </w:rPr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количество нарушений в 2023 году</w:t>
            </w:r>
            <w:r>
              <w:rPr>
                <w:rStyle w:val="7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- 1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количество нарушений в 2024 году</w:t>
            </w:r>
            <w:r>
              <w:rPr>
                <w:rStyle w:val="7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 xml:space="preserve"> - 0</w:t>
            </w:r>
          </w:p>
        </w:tc>
      </w:tr>
      <w:tr w14:paraId="39AAB1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A9A7E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4. «Мониторинг товарных рынков (сфер экономики)»</w:t>
            </w:r>
          </w:p>
        </w:tc>
      </w:tr>
      <w:tr w14:paraId="2178E2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9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1DF61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4.1.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0DDE58D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Проведение мониторинга состояния и развития конкурентной среды на товарных рынках муниципального района (городского округа) Курской области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FBAC2B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  <w:p w14:paraId="7B045BD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https://lgovrn.gosuslugi.ru/ofitsialno/dokumenty/dokumenty-all_5770.html</w:t>
            </w:r>
          </w:p>
        </w:tc>
      </w:tr>
      <w:tr w14:paraId="10B94E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8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70DEF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4.2.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06377E1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сформированного и размещенного на официальном сайте муниципального района (городского округа) Курской области реестра хозяйствующих субъектов, доля участия муниципального района (городского округа) Курской области в которых составляет 50 и более процентов (далее - Реестр), с указанием рынка присутствия каждого такого хозяйствующего субъекта, на котором осуществляется данная деятельность: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C210D5E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D2193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На территории Льговского района отсутствуют хозяйствующие субъекты, где доля участия муниципального района составляет 50 и более %</w:t>
            </w:r>
          </w:p>
        </w:tc>
      </w:tr>
      <w:tr w14:paraId="37FFDD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1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A4ADF4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4.2.1.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657F2D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- указаны доли занимаемого рынка такого хозяйствующего субъекта (в том числе объема (доля) выручки в общей величине стоимости оборота рынка, объем (доля) реализованных на рынке товаров, работ и услуг в натуральном выражении)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F5E7A9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075B1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4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5CC429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4.2.2.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6857782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- указан объем финансирования такого хозяйствующего субъекта из бюджета Курской области и бюджета муниципального района (городского округа)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00B05B7A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6F28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556BCF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4.2.3.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C50BF2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- Реестр размещен на официальном сайте муниципального района (городского округа) Курской области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29495C9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734A8C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748EF70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5. «Обучающие мероприятия»</w:t>
            </w:r>
          </w:p>
        </w:tc>
      </w:tr>
      <w:tr w14:paraId="558532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7A33D6B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№</w:t>
            </w:r>
          </w:p>
          <w:p w14:paraId="1298EE4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99E8CC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показателя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F5068C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Есть/Нет</w:t>
            </w:r>
          </w:p>
        </w:tc>
      </w:tr>
      <w:tr w14:paraId="2D7648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057D6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5.1.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234CCB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Участие в обучающих мероприятиях для органов местного самоуправления Курской области по вопросам содействия развитию конкуренции в Курской области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4735D718">
            <w:pPr>
              <w:spacing w:after="0" w:line="240" w:lineRule="auto"/>
              <w:jc w:val="center"/>
              <w:rPr>
                <w:rFonts w:ascii="Times New Roman" w:hAnsi="Times New Roman"/>
                <w:b w:val="0"/>
                <w:bCs/>
                <w:color w:val="auto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4"/>
                <w:lang w:val="ru-RU"/>
              </w:rPr>
              <w:t>Есть</w:t>
            </w:r>
          </w:p>
          <w:p w14:paraId="76E40240">
            <w:pPr>
              <w:spacing w:after="0" w:line="240" w:lineRule="auto"/>
              <w:jc w:val="both"/>
              <w:rPr>
                <w:sz w:val="10"/>
                <w:szCs w:val="10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Муниципальные служащие ознакомлены с нормативными правовыми актами в области развития конкуренции и антимонопольного законодательства Российской Федерации на обучающих семинарах. </w:t>
            </w:r>
          </w:p>
        </w:tc>
      </w:tr>
      <w:tr w14:paraId="51F3AD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5C9D023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6. «Качественная оценка проводимой работы»</w:t>
            </w:r>
          </w:p>
        </w:tc>
      </w:tr>
      <w:tr w14:paraId="28C379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6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10F404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6.1.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02DCEB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Достижение ключевых показателей муниципального плана мероприятий («дорожной карты») по содействию развитию конкуренции в муниципальном районе (городском округе) Курской области*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1093FE2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Число товарных рынков, на которых достигнуты целевые значения показателей «дорожной карты» (</w:t>
            </w:r>
            <w:r>
              <w:rPr>
                <w:rStyle w:val="7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5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) / общее число товарных рынков в «дорожной карте» (</w:t>
            </w:r>
            <w:r>
              <w:rPr>
                <w:rStyle w:val="7"/>
                <w:rFonts w:hint="default"/>
                <w:b w:val="0"/>
                <w:bCs w:val="0"/>
                <w:i w:val="0"/>
                <w:iCs w:val="0"/>
                <w:smallCaps w:val="0"/>
                <w:strike w:val="0"/>
                <w:lang w:val="en-US"/>
              </w:rPr>
              <w:t>5</w:t>
            </w: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 xml:space="preserve"> )</w:t>
            </w:r>
          </w:p>
        </w:tc>
      </w:tr>
      <w:tr w14:paraId="161D03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8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DA2334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6.2.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37700C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дополнительных рынков в муниципальном плане «дорожной карте» по содействию развитию конкуренции, не включенных в стандарт развития конкуренции в субъектах Российской Федерации (распоряжение Правительства Российской Федерации от 17.04.2019 № 768-</w:t>
            </w:r>
          </w:p>
          <w:p w14:paraId="4CB779C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р)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2A4C92F">
            <w:pPr>
              <w:widowControl w:val="0"/>
              <w:jc w:val="center"/>
              <w:rPr>
                <w:rFonts w:hint="default"/>
                <w:sz w:val="10"/>
                <w:szCs w:val="10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14:paraId="26C359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99FB1B3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7. «Эффективность работы по повышению и обеспечению условий для благоприятного инвестиционного климата в муниципальном районе (городском</w:t>
            </w:r>
          </w:p>
          <w:p w14:paraId="158EE386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округе) Курской области»</w:t>
            </w:r>
          </w:p>
        </w:tc>
      </w:tr>
      <w:tr w14:paraId="279F70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58AE6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7.1.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5ECCD3C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Реализация проектов муниципально-частного партнерства или концессионных соглашений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79AA22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14:paraId="1E6856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2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C27A39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7.2.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99A9789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0EA91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4B79998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https://lgovrn.gosuslugi.ru/deyatelnost/investitsionnaya-deyatelnost/</w:t>
            </w:r>
          </w:p>
        </w:tc>
      </w:tr>
      <w:tr w14:paraId="63556A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3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06372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7.3.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11B195E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специализированного раздела на официальном сайте муниципального района (городского округа) Курской области об инвестиционной деятельности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0BC741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  <w:p w14:paraId="7ABEF6E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https://lgovrn.gosuslugi.ru/deyatelnost/investitsionnaya-deyatelnost/</w:t>
            </w:r>
          </w:p>
        </w:tc>
      </w:tr>
      <w:tr w14:paraId="279704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7" w:hRule="atLeas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7EFB0B7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Группа 8. «Другие мероприятия, направленные на развитие конкуренции в</w:t>
            </w:r>
          </w:p>
          <w:p w14:paraId="48D232BF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8"/>
                <w:b/>
                <w:bCs/>
                <w:i w:val="0"/>
                <w:iCs w:val="0"/>
                <w:smallCaps w:val="0"/>
                <w:strike w:val="0"/>
              </w:rPr>
              <w:t>муниципальном образовании (городском округе) Курской области»</w:t>
            </w:r>
          </w:p>
        </w:tc>
      </w:tr>
      <w:tr w14:paraId="0DAAE5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70EAEF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8.1.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14603E7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Наличие актуальной утвержденной и размещенной на официальном сайте муниципального района (городского округа) Курской области схемы размещения рекламных конструкций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7365BAD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14:paraId="3AFD34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96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E06F4A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8.2.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0896A36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Увеличение количества объектов в перечне муниципального имущества, подлежащего предоставлению во владение и (или) пользование на долгосрочной основе субъектам малого и среднего предпринимательства (далее - МСП) и организациям, образующим инфраструктуру поддержки субъектов МСП и самозанятым гражданам (далее - Перечень)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348ECB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14:paraId="655A6B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2C78EA4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№</w:t>
            </w:r>
          </w:p>
          <w:p w14:paraId="6B713695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п/п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8250F82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Наименование показателя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2AC8E9A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Есть/Нет</w:t>
            </w:r>
          </w:p>
        </w:tc>
      </w:tr>
      <w:tr w14:paraId="0AD488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296F45B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8.3.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 w14:paraId="3F88DC7C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78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Размещение актуализированного Перечня на официальном сайте муниципального района (городского округа) Курской области»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545C83E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Есть</w:t>
            </w:r>
          </w:p>
        </w:tc>
      </w:tr>
      <w:tr w14:paraId="2A67E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4" w:hRule="atLeas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FD4B2F0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line="220" w:lineRule="exact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8.4.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 w14:paraId="50446718"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ind w:left="0" w:firstLine="0"/>
              <w:jc w:val="left"/>
            </w:pPr>
            <w:r>
              <w:rPr>
                <w:rStyle w:val="7"/>
                <w:b w:val="0"/>
                <w:bCs w:val="0"/>
                <w:i w:val="0"/>
                <w:iCs w:val="0"/>
                <w:smallCaps w:val="0"/>
                <w:strike w:val="0"/>
              </w:rPr>
              <w:t>Соблюдение сроков предоставления сведений, определенных порядком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сведений, утвержденным приказом Минэкономразвития России от 20.04.2016 № 264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 w14:paraId="65D12219">
            <w:pPr>
              <w:widowControl w:val="0"/>
              <w:rPr>
                <w:sz w:val="10"/>
                <w:szCs w:val="10"/>
              </w:rPr>
            </w:pPr>
          </w:p>
        </w:tc>
      </w:tr>
    </w:tbl>
    <w:p w14:paraId="0A03C04F">
      <w:pPr>
        <w:widowControl w:val="0"/>
        <w:rPr>
          <w:sz w:val="2"/>
          <w:szCs w:val="2"/>
        </w:rPr>
      </w:pPr>
    </w:p>
    <w:sectPr>
      <w:pgSz w:w="11909" w:h="16840"/>
      <w:pgMar w:top="1219" w:right="953" w:bottom="1137" w:left="144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BA046">
    <w:pPr>
      <w:widowControl w:val="0"/>
      <w:rPr>
        <w:sz w:val="2"/>
        <w:szCs w:val="2"/>
      </w:rPr>
    </w:pPr>
    <w: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10363835</wp:posOffset>
              </wp:positionH>
              <wp:positionV relativeFrom="page">
                <wp:posOffset>494030</wp:posOffset>
              </wp:positionV>
              <wp:extent cx="54610" cy="88265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B72F1"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line="240" w:lineRule="auto"/>
                            <w:ind w:lef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t>#</w:t>
                          </w:r>
                          <w:r>
                            <w:rPr>
                              <w:rStyle w:val="11"/>
                              <w:b w:val="0"/>
                              <w:bCs w:val="0"/>
                              <w:i w:val="0"/>
                              <w:iCs w:val="0"/>
                              <w:smallCaps w:val="0"/>
                              <w:strike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6" o:spt="202" type="#_x0000_t202" style="position:absolute;left:0pt;margin-left:816.05pt;margin-top:38.9pt;height:6.95pt;width:4.3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jLV0dYAAAALAQAADwAAAAAAAAABACAAAAAi&#10;AAAAZHJzL2Rvd25yZXYueG1sUEsBAhQAFAAAAAgAh07iQDpQH/fTAQAAmgMAAA4AAAAAAAAAAQAg&#10;AAAAJQ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BB72F1"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line="240" w:lineRule="auto"/>
                      <w:ind w:lef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t>#</w:t>
                    </w:r>
                    <w:r>
                      <w:rPr>
                        <w:rStyle w:val="11"/>
                        <w:b w:val="0"/>
                        <w:bCs w:val="0"/>
                        <w:i w:val="0"/>
                        <w:iCs w:val="0"/>
                        <w:smallCaps w:val="0"/>
                        <w:strike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attachedTemplate r:id="rId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86965"/>
    <w:rsid w:val="0EED354D"/>
    <w:rsid w:val="0F7C100B"/>
    <w:rsid w:val="478869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qFormat/>
    <w:uiPriority w:val="0"/>
    <w:rPr>
      <w:rFonts w:ascii="Arial Unicode MS" w:hAnsi="Arial Unicode MS" w:eastAsia="Arial Unicode MS" w:cs="Arial Unicode MS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66CC"/>
      <w:u w:val="single"/>
    </w:rPr>
  </w:style>
  <w:style w:type="character" w:customStyle="1" w:styleId="5">
    <w:name w:val="Основной текст (2)_"/>
    <w:basedOn w:val="2"/>
    <w:link w:val="6"/>
    <w:qFormat/>
    <w:uiPriority w:val="0"/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paragraph" w:customStyle="1" w:styleId="6">
    <w:name w:val="Основной текст (2)1"/>
    <w:basedOn w:val="1"/>
    <w:link w:val="5"/>
    <w:qFormat/>
    <w:uiPriority w:val="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 w:eastAsia="Times New Roman" w:cs="Times New Roman"/>
      <w:b/>
      <w:bCs/>
      <w:sz w:val="22"/>
      <w:szCs w:val="22"/>
      <w:u w:val="none"/>
    </w:rPr>
  </w:style>
  <w:style w:type="character" w:customStyle="1" w:styleId="7">
    <w:name w:val="Основной текст (2) + Не полужирный"/>
    <w:basedOn w:val="5"/>
    <w:qFormat/>
    <w:uiPriority w:val="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8">
    <w:name w:val="Основной текст (2)"/>
    <w:basedOn w:val="5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Колонтитул_"/>
    <w:basedOn w:val="2"/>
    <w:link w:val="10"/>
    <w:qFormat/>
    <w:uiPriority w:val="0"/>
    <w:rPr>
      <w:rFonts w:ascii="Calibri" w:hAnsi="Calibri" w:eastAsia="Calibri" w:cs="Calibri"/>
      <w:sz w:val="21"/>
      <w:szCs w:val="21"/>
      <w:u w:val="none"/>
    </w:rPr>
  </w:style>
  <w:style w:type="paragraph" w:customStyle="1" w:styleId="10">
    <w:name w:val="Колонтитул1"/>
    <w:basedOn w:val="1"/>
    <w:link w:val="9"/>
    <w:qFormat/>
    <w:uiPriority w:val="0"/>
    <w:pPr>
      <w:widowControl w:val="0"/>
      <w:shd w:val="clear" w:color="auto" w:fill="FFFFFF"/>
      <w:spacing w:line="0" w:lineRule="exact"/>
    </w:pPr>
    <w:rPr>
      <w:rFonts w:ascii="Calibri" w:hAnsi="Calibri" w:eastAsia="Calibri" w:cs="Calibri"/>
      <w:sz w:val="21"/>
      <w:szCs w:val="21"/>
      <w:u w:val="none"/>
    </w:rPr>
  </w:style>
  <w:style w:type="character" w:customStyle="1" w:styleId="11">
    <w:name w:val="Колонтитул"/>
    <w:basedOn w:val="9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2)41"/>
    <w:basedOn w:val="2"/>
    <w:link w:val="13"/>
    <w:qFormat/>
    <w:uiPriority w:val="0"/>
    <w:rPr>
      <w:rFonts w:hint="default" w:ascii="Arial" w:hAnsi="Arial" w:eastAsia="Times New Roman" w:cs="Times New Roman"/>
      <w:color w:val="000000"/>
      <w:sz w:val="28"/>
      <w:u w:val="none"/>
    </w:rPr>
  </w:style>
  <w:style w:type="paragraph" w:customStyle="1" w:styleId="13">
    <w:name w:val="Основной текст (2)4"/>
    <w:link w:val="12"/>
    <w:qFormat/>
    <w:uiPriority w:val="0"/>
    <w:rPr>
      <w:rFonts w:hint="default" w:ascii="Arial" w:hAnsi="Arial" w:eastAsia="Times New Roman" w:cs="Times New Roman"/>
      <w:color w:val="000000"/>
      <w:sz w:val="28"/>
      <w:u w:val="none"/>
    </w:rPr>
  </w:style>
  <w:style w:type="paragraph" w:customStyle="1" w:styleId="14">
    <w:name w:val="Заголовок №1"/>
    <w:basedOn w:val="1"/>
    <w:qFormat/>
    <w:uiPriority w:val="0"/>
    <w:pPr>
      <w:widowControl w:val="0"/>
      <w:spacing w:before="780" w:after="0" w:line="346" w:lineRule="exact"/>
      <w:jc w:val="center"/>
      <w:outlineLvl w:val="0"/>
    </w:pPr>
    <w:rPr>
      <w:rFonts w:ascii="Times New Roman" w:hAns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kupki\AppData\Local\Temp\FineReader12.00\sndt9faf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sndt9faf.docx</Template>
  <Pages>4</Pages>
  <Words>712</Words>
  <Characters>5319</Characters>
  <TotalTime>1</TotalTime>
  <ScaleCrop>false</ScaleCrop>
  <LinksUpToDate>false</LinksUpToDate>
  <CharactersWithSpaces>5957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2025-04-08T13:30:00Z</dcterms:created>
  <dc:creator>Zakupki</dc:creator>
  <cp:lastModifiedBy>Zakupki</cp:lastModifiedBy>
  <dcterms:modified xsi:type="dcterms:W3CDTF">2025-04-09T06:29:38Z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61BB1DC09CB0431FBCF85AF3B1300ABE_13</vt:lpwstr>
  </property>
  <property fmtid="{D5CDD505-2E9C-101B-9397-08002B2CF9AE}" pid="3" name="KSOProductBuildVer">
    <vt:lpwstr>1049-12.2.0.20782</vt:lpwstr>
  </property>
</Properties>
</file>